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DD065E" w14:textId="77777777" w:rsidR="00A14BC4" w:rsidRPr="00DB0305" w:rsidRDefault="001168F0">
      <w:pPr>
        <w:spacing w:before="240" w:after="240"/>
        <w:rPr>
          <w:b/>
          <w:bCs/>
          <w:sz w:val="28"/>
          <w:szCs w:val="28"/>
          <w:lang w:val="pl-PL"/>
        </w:rPr>
      </w:pPr>
      <w:r w:rsidRPr="00DB0305">
        <w:rPr>
          <w:b/>
          <w:bCs/>
          <w:sz w:val="28"/>
          <w:szCs w:val="28"/>
          <w:lang w:val="pl-PL"/>
        </w:rPr>
        <w:t>To nie mnie zastąpi AI – raport o nierealistycznym optymizmie Polaków wobec sztucznej inteligencji</w:t>
      </w:r>
    </w:p>
    <w:p w14:paraId="524A4BC5" w14:textId="77777777" w:rsidR="00A14BC4" w:rsidRPr="00DB0305" w:rsidRDefault="001168F0">
      <w:pPr>
        <w:rPr>
          <w:b/>
          <w:bCs/>
          <w:sz w:val="20"/>
          <w:szCs w:val="20"/>
          <w:lang w:val="pl-PL"/>
        </w:rPr>
      </w:pPr>
      <w:r w:rsidRPr="00DB0305">
        <w:rPr>
          <w:b/>
          <w:bCs/>
          <w:sz w:val="20"/>
          <w:szCs w:val="20"/>
          <w:lang w:val="pl-PL"/>
        </w:rPr>
        <w:t xml:space="preserve"> </w:t>
      </w:r>
    </w:p>
    <w:p w14:paraId="074995B8" w14:textId="77777777" w:rsidR="00A14BC4" w:rsidRPr="00DB0305" w:rsidRDefault="001168F0">
      <w:pPr>
        <w:spacing w:before="240" w:after="240" w:line="276" w:lineRule="auto"/>
        <w:rPr>
          <w:rFonts w:ascii="Arial" w:eastAsia="Arial" w:hAnsi="Arial" w:cs="Arial"/>
          <w:b/>
          <w:bCs/>
          <w:lang w:val="pl-PL"/>
        </w:rPr>
      </w:pPr>
      <w:r w:rsidRPr="00DB0305">
        <w:rPr>
          <w:rFonts w:ascii="Arial" w:eastAsia="Arial" w:hAnsi="Arial" w:cs="Arial"/>
          <w:b/>
          <w:bCs/>
          <w:lang w:val="pl-PL"/>
        </w:rPr>
        <w:t xml:space="preserve">Polacy i Polki częściej oceniają, że ryzyko negatywnych konsekwencji rozwoju sztucznej inteligencji jest większe dla innych ludzi niż dla nich samych i osób im bliskich – wynika z </w:t>
      </w:r>
      <w:hyperlink r:id="rId7">
        <w:r w:rsidRPr="00DB0305">
          <w:rPr>
            <w:rFonts w:ascii="Arial" w:eastAsia="Arial" w:hAnsi="Arial" w:cs="Arial"/>
            <w:b/>
            <w:bCs/>
            <w:color w:val="1155CC"/>
            <w:u w:val="single"/>
            <w:lang w:val="pl-PL"/>
          </w:rPr>
          <w:t>raportu</w:t>
        </w:r>
      </w:hyperlink>
      <w:r w:rsidRPr="00DB0305">
        <w:rPr>
          <w:rFonts w:ascii="Arial" w:eastAsia="Arial" w:hAnsi="Arial" w:cs="Arial"/>
          <w:b/>
          <w:bCs/>
          <w:lang w:val="pl-PL"/>
        </w:rPr>
        <w:t xml:space="preserve"> „To nie mnie zastąpi AI. O nierealistycznym optymizmie Polek i Polaków wobec sztucznej inteligencji”, przygotowanego przez </w:t>
      </w:r>
      <w:hyperlink r:id="rId8">
        <w:r w:rsidRPr="00DB0305">
          <w:rPr>
            <w:rFonts w:ascii="Arial" w:eastAsia="Arial" w:hAnsi="Arial" w:cs="Arial"/>
            <w:b/>
            <w:bCs/>
            <w:color w:val="1155CC"/>
            <w:u w:val="single"/>
            <w:lang w:val="pl-PL"/>
          </w:rPr>
          <w:t>Centrum Badań nad Relacjami Społecznymi</w:t>
        </w:r>
      </w:hyperlink>
      <w:r w:rsidRPr="00DB0305">
        <w:rPr>
          <w:rFonts w:ascii="Arial" w:eastAsia="Arial" w:hAnsi="Arial" w:cs="Arial"/>
          <w:b/>
          <w:bCs/>
          <w:lang w:val="pl-PL"/>
        </w:rPr>
        <w:t xml:space="preserve"> Uniwersytetu SWPS. Im bardziej oddalona jest grupa odniesienia, tym wyżs</w:t>
      </w:r>
      <w:r w:rsidRPr="00DB0305">
        <w:rPr>
          <w:rFonts w:ascii="Arial" w:eastAsia="Arial" w:hAnsi="Arial" w:cs="Arial"/>
          <w:b/>
          <w:bCs/>
          <w:lang w:val="pl-PL"/>
        </w:rPr>
        <w:t>ze ryzyko związane z AI przypisują jej osoby badane.</w:t>
      </w:r>
    </w:p>
    <w:p w14:paraId="2D015C75" w14:textId="77777777" w:rsidR="00A14BC4" w:rsidRPr="00DB0305" w:rsidRDefault="001168F0">
      <w:pPr>
        <w:spacing w:before="240" w:after="240" w:line="300" w:lineRule="auto"/>
        <w:rPr>
          <w:sz w:val="20"/>
          <w:szCs w:val="20"/>
          <w:lang w:val="pl-PL"/>
        </w:rPr>
      </w:pPr>
      <w:r w:rsidRPr="00DB0305">
        <w:rPr>
          <w:sz w:val="20"/>
          <w:szCs w:val="20"/>
          <w:lang w:val="pl-PL"/>
        </w:rPr>
        <w:t xml:space="preserve">Szybki rozwój sztucznej inteligencji stał się impulsem do intensywnej debaty społecznej i naukowej, w której fascynacja możliwościami nowej technologii coraz częściej przeplata się z pytaniami i obawami </w:t>
      </w:r>
      <w:r w:rsidRPr="00DB0305">
        <w:rPr>
          <w:sz w:val="20"/>
          <w:szCs w:val="20"/>
          <w:lang w:val="pl-PL"/>
        </w:rPr>
        <w:t>dotyczącymi długofalowych konsekwencji jej wykorzystania</w:t>
      </w:r>
      <w:r w:rsidRPr="00DB0305">
        <w:rPr>
          <w:sz w:val="20"/>
          <w:szCs w:val="20"/>
          <w:vertAlign w:val="superscript"/>
          <w:lang w:val="pl-PL"/>
        </w:rPr>
        <w:footnoteReference w:id="1"/>
      </w:r>
      <w:r w:rsidRPr="00DB0305">
        <w:rPr>
          <w:sz w:val="20"/>
          <w:szCs w:val="20"/>
          <w:lang w:val="pl-PL"/>
        </w:rPr>
        <w:t xml:space="preserve">. </w:t>
      </w:r>
    </w:p>
    <w:p w14:paraId="2844B937" w14:textId="77777777" w:rsidR="00A14BC4" w:rsidRPr="00DB0305" w:rsidRDefault="001168F0">
      <w:pPr>
        <w:spacing w:before="240" w:after="240" w:line="300" w:lineRule="auto"/>
        <w:rPr>
          <w:b/>
          <w:bCs/>
          <w:sz w:val="20"/>
          <w:szCs w:val="20"/>
          <w:lang w:val="pl-PL"/>
        </w:rPr>
      </w:pPr>
      <w:r w:rsidRPr="00DB0305">
        <w:rPr>
          <w:sz w:val="20"/>
          <w:szCs w:val="20"/>
          <w:lang w:val="pl-PL"/>
        </w:rPr>
        <w:t>– Dynamiczne zmiany, takie jak te, które obserwujemy przy okazji rozwoju narzędzi sztucznej inteligencji, oddziałują na nasze funkcjonowanie psychologiczne. Gdy nie wiemy, co przyniesie przyszłoś</w:t>
      </w:r>
      <w:r w:rsidRPr="00DB0305">
        <w:rPr>
          <w:sz w:val="20"/>
          <w:szCs w:val="20"/>
          <w:lang w:val="pl-PL"/>
        </w:rPr>
        <w:t xml:space="preserve">ć, łatwiej o lęk i jednocześnie takie sposoby myślenia, które pomagają ten lęk oswoić – mówi </w:t>
      </w:r>
      <w:r w:rsidRPr="00DB0305">
        <w:rPr>
          <w:b/>
          <w:bCs/>
          <w:sz w:val="20"/>
          <w:szCs w:val="20"/>
          <w:lang w:val="pl-PL"/>
        </w:rPr>
        <w:t>dr Paweł Muniak, psycholog z Uniwersytetu SWPS, autor raportu.</w:t>
      </w:r>
    </w:p>
    <w:p w14:paraId="6F823C1C" w14:textId="77777777" w:rsidR="00A14BC4" w:rsidRPr="00DB0305" w:rsidRDefault="001168F0">
      <w:pPr>
        <w:spacing w:before="240" w:after="240" w:line="300" w:lineRule="auto"/>
        <w:rPr>
          <w:sz w:val="20"/>
          <w:szCs w:val="20"/>
          <w:lang w:val="pl-PL"/>
        </w:rPr>
      </w:pPr>
      <w:r w:rsidRPr="00DB0305">
        <w:rPr>
          <w:sz w:val="20"/>
          <w:szCs w:val="20"/>
          <w:lang w:val="pl-PL"/>
        </w:rPr>
        <w:t>Badania pokazują, że w takich warunkach ludzie częściej uruchamiają strategie chroniące poczucie bez</w:t>
      </w:r>
      <w:r w:rsidRPr="00DB0305">
        <w:rPr>
          <w:sz w:val="20"/>
          <w:szCs w:val="20"/>
          <w:lang w:val="pl-PL"/>
        </w:rPr>
        <w:t>pieczeństwa. Jedną z najlepiej opisanych tendencji tego typu jest nierealistyczny optymizm, czyli przekonanie, że negatywne zdarzenia z większym prawdopodobieństwem spotkają innych ludzi niż nas samych</w:t>
      </w:r>
      <w:r w:rsidRPr="00DB0305">
        <w:rPr>
          <w:sz w:val="20"/>
          <w:szCs w:val="20"/>
          <w:vertAlign w:val="superscript"/>
          <w:lang w:val="pl-PL"/>
        </w:rPr>
        <w:footnoteReference w:id="2"/>
      </w:r>
      <w:r w:rsidRPr="00DB0305">
        <w:rPr>
          <w:sz w:val="20"/>
          <w:szCs w:val="20"/>
          <w:lang w:val="pl-PL"/>
        </w:rPr>
        <w:t>.</w:t>
      </w:r>
    </w:p>
    <w:p w14:paraId="7248E2CC" w14:textId="77777777" w:rsidR="00A14BC4" w:rsidRPr="00DB0305" w:rsidRDefault="00A14BC4">
      <w:pPr>
        <w:spacing w:before="240" w:after="240" w:line="300" w:lineRule="auto"/>
        <w:rPr>
          <w:sz w:val="20"/>
          <w:szCs w:val="20"/>
          <w:lang w:val="pl-PL"/>
        </w:rPr>
      </w:pPr>
    </w:p>
    <w:p w14:paraId="7131AA36" w14:textId="77777777" w:rsidR="00A14BC4" w:rsidRPr="00DB0305" w:rsidRDefault="001168F0">
      <w:pPr>
        <w:spacing w:before="240" w:after="240" w:line="300" w:lineRule="auto"/>
        <w:rPr>
          <w:b/>
          <w:bCs/>
          <w:sz w:val="20"/>
          <w:szCs w:val="20"/>
          <w:lang w:val="pl-PL"/>
        </w:rPr>
      </w:pPr>
      <w:r w:rsidRPr="00DB0305">
        <w:rPr>
          <w:b/>
          <w:bCs/>
          <w:sz w:val="20"/>
          <w:szCs w:val="20"/>
          <w:lang w:val="pl-PL"/>
        </w:rPr>
        <w:t>AI groźniejsza dla innych niż dla nas</w:t>
      </w:r>
    </w:p>
    <w:p w14:paraId="195BCE6F" w14:textId="77777777" w:rsidR="00A14BC4" w:rsidRPr="00DB0305" w:rsidRDefault="001168F0">
      <w:pPr>
        <w:spacing w:before="240" w:after="240" w:line="300" w:lineRule="auto"/>
        <w:rPr>
          <w:sz w:val="20"/>
          <w:szCs w:val="20"/>
          <w:lang w:val="pl-PL"/>
        </w:rPr>
      </w:pPr>
      <w:r w:rsidRPr="00DB0305">
        <w:rPr>
          <w:sz w:val="20"/>
          <w:szCs w:val="20"/>
          <w:lang w:val="pl-PL"/>
        </w:rPr>
        <w:t xml:space="preserve">W raporcie </w:t>
      </w:r>
      <w:r w:rsidRPr="00DB0305">
        <w:rPr>
          <w:b/>
          <w:bCs/>
          <w:sz w:val="20"/>
          <w:szCs w:val="20"/>
          <w:lang w:val="pl-PL"/>
        </w:rPr>
        <w:t>„</w:t>
      </w:r>
      <w:r w:rsidRPr="00DB0305">
        <w:rPr>
          <w:b/>
          <w:bCs/>
          <w:sz w:val="20"/>
          <w:szCs w:val="20"/>
          <w:lang w:val="pl-PL"/>
        </w:rPr>
        <w:t>To nie mnie zastąpi AI. O nierealistycznym optymizmie Polek i Polaków wobec sztucznej inteligencji”</w:t>
      </w:r>
      <w:r w:rsidRPr="00DB0305">
        <w:rPr>
          <w:sz w:val="20"/>
          <w:szCs w:val="20"/>
          <w:lang w:val="pl-PL"/>
        </w:rPr>
        <w:t xml:space="preserve"> przeanalizowano, czy różnice między perspektywą „ty i bliscy” a pozostałymi trzema perspektywami („osoba z miasta”, „obywatel” i „osoba na świecie”) zmienia</w:t>
      </w:r>
      <w:r w:rsidRPr="00DB0305">
        <w:rPr>
          <w:sz w:val="20"/>
          <w:szCs w:val="20"/>
          <w:lang w:val="pl-PL"/>
        </w:rPr>
        <w:t>ją się w zależności od płci, wieku, wykształcenia oraz statusu zawodowego osób badanych.</w:t>
      </w:r>
    </w:p>
    <w:p w14:paraId="720B32B1" w14:textId="77777777" w:rsidR="00A14BC4" w:rsidRPr="00DB0305" w:rsidRDefault="001168F0">
      <w:pPr>
        <w:spacing w:before="240" w:after="240" w:line="300" w:lineRule="auto"/>
        <w:rPr>
          <w:sz w:val="20"/>
          <w:szCs w:val="20"/>
          <w:lang w:val="pl-PL"/>
        </w:rPr>
      </w:pPr>
      <w:r w:rsidRPr="00DB0305">
        <w:rPr>
          <w:sz w:val="20"/>
          <w:szCs w:val="20"/>
          <w:lang w:val="pl-PL"/>
        </w:rPr>
        <w:t>Wyniki sondażu przeprowadzonego między wrześniem a październikiem 2025 roku przez Centrum Badań nad Relacjami Społecznymi Uniwersytetu SWPS, na reprezentatywnej próbie</w:t>
      </w:r>
      <w:r w:rsidRPr="00DB0305">
        <w:rPr>
          <w:sz w:val="20"/>
          <w:szCs w:val="20"/>
          <w:lang w:val="pl-PL"/>
        </w:rPr>
        <w:t xml:space="preserve"> Polaków (N=1029), wskazują, że wraz z oddalaniem się od perspektywy „ty i bliscy” ryzyko związane z AI jest systematycznie oceniane jako większe dla bardziej abstrakcyjnych i odległych grup</w:t>
      </w:r>
      <w:r w:rsidRPr="00DB0305">
        <w:rPr>
          <w:sz w:val="20"/>
          <w:szCs w:val="20"/>
          <w:vertAlign w:val="superscript"/>
          <w:lang w:val="pl-PL"/>
        </w:rPr>
        <w:footnoteReference w:id="3"/>
      </w:r>
      <w:r w:rsidRPr="00DB0305">
        <w:rPr>
          <w:sz w:val="20"/>
          <w:szCs w:val="20"/>
          <w:lang w:val="pl-PL"/>
        </w:rPr>
        <w:t xml:space="preserve">. </w:t>
      </w:r>
    </w:p>
    <w:p w14:paraId="32A49D3F" w14:textId="77777777" w:rsidR="00A14BC4" w:rsidRPr="00DB0305" w:rsidRDefault="001168F0">
      <w:pPr>
        <w:spacing w:before="240" w:after="240" w:line="300" w:lineRule="auto"/>
        <w:rPr>
          <w:sz w:val="20"/>
          <w:szCs w:val="20"/>
          <w:lang w:val="pl-PL"/>
        </w:rPr>
      </w:pPr>
      <w:r w:rsidRPr="00DB0305">
        <w:rPr>
          <w:sz w:val="20"/>
          <w:szCs w:val="20"/>
          <w:lang w:val="pl-PL"/>
        </w:rPr>
        <w:t xml:space="preserve">Z raportu wynika, że osoby młodsze i starsze nie różniły się </w:t>
      </w:r>
      <w:r w:rsidRPr="00DB0305">
        <w:rPr>
          <w:sz w:val="20"/>
          <w:szCs w:val="20"/>
          <w:lang w:val="pl-PL"/>
        </w:rPr>
        <w:t>tym, jak wysoko (przeciętnie) szacowały prawdopodobieństwo negatywnego wpływu AI na życie zawodowe lub prywatne osób badanych oraz innych ludzi</w:t>
      </w:r>
      <w:r w:rsidRPr="00DB0305">
        <w:rPr>
          <w:sz w:val="20"/>
          <w:szCs w:val="20"/>
          <w:vertAlign w:val="superscript"/>
          <w:lang w:val="pl-PL"/>
        </w:rPr>
        <w:footnoteReference w:id="4"/>
      </w:r>
      <w:r w:rsidRPr="00DB0305">
        <w:rPr>
          <w:sz w:val="20"/>
          <w:szCs w:val="20"/>
          <w:lang w:val="pl-PL"/>
        </w:rPr>
        <w:t>. Wyniki sondażu pokazują, że również ani wykształcenie, ani status zawodowy nie zmieniają kształtu wzorca – ni</w:t>
      </w:r>
      <w:r w:rsidRPr="00DB0305">
        <w:rPr>
          <w:sz w:val="20"/>
          <w:szCs w:val="20"/>
          <w:lang w:val="pl-PL"/>
        </w:rPr>
        <w:t>e ma dowodów na to, by różnice między perspektywą „ty i bliscy” a bardziej odległymi perspektywami były systematycznie inne w zależności od poziomu wykształcenia czy statusu zawodowego.</w:t>
      </w:r>
    </w:p>
    <w:p w14:paraId="703157EB" w14:textId="77777777" w:rsidR="00A14BC4" w:rsidRPr="00DB0305" w:rsidRDefault="001168F0">
      <w:pPr>
        <w:spacing w:before="240" w:after="240" w:line="300" w:lineRule="auto"/>
        <w:rPr>
          <w:sz w:val="20"/>
          <w:szCs w:val="20"/>
          <w:lang w:val="pl-PL"/>
        </w:rPr>
      </w:pPr>
      <w:r w:rsidRPr="00DB0305">
        <w:rPr>
          <w:sz w:val="20"/>
          <w:szCs w:val="20"/>
          <w:lang w:val="pl-PL"/>
        </w:rPr>
        <w:t>Jedyny wyjątek dotyczył płci. Jak wynika z badania, kobiety deklarował</w:t>
      </w:r>
      <w:r w:rsidRPr="00DB0305">
        <w:rPr>
          <w:sz w:val="20"/>
          <w:szCs w:val="20"/>
          <w:lang w:val="pl-PL"/>
        </w:rPr>
        <w:t>y przeciętnie wyższy ogólny poziom postrzeganego ryzyka związanego ze sztuczną inteligencją niż mężczyźni</w:t>
      </w:r>
      <w:r w:rsidRPr="00DB0305">
        <w:rPr>
          <w:sz w:val="20"/>
          <w:szCs w:val="20"/>
          <w:vertAlign w:val="superscript"/>
          <w:lang w:val="pl-PL"/>
        </w:rPr>
        <w:footnoteReference w:id="5"/>
      </w:r>
      <w:r w:rsidRPr="00DB0305">
        <w:rPr>
          <w:sz w:val="20"/>
          <w:szCs w:val="20"/>
          <w:lang w:val="pl-PL"/>
        </w:rPr>
        <w:t>. Oznacza to, że u obu płci działa podobny mechanizm – kobiety i mężczyźni różnią się poziomem bazowym ocen ryzyka, a nie wzorcem porównań – ryzyko j</w:t>
      </w:r>
      <w:r w:rsidRPr="00DB0305">
        <w:rPr>
          <w:sz w:val="20"/>
          <w:szCs w:val="20"/>
          <w:lang w:val="pl-PL"/>
        </w:rPr>
        <w:t>est częściej lokowane po stronie „innych”.</w:t>
      </w:r>
    </w:p>
    <w:p w14:paraId="3006D100" w14:textId="77777777" w:rsidR="00A14BC4" w:rsidRPr="00DB0305" w:rsidRDefault="001168F0">
      <w:pPr>
        <w:spacing w:before="240" w:after="240" w:line="300" w:lineRule="auto"/>
        <w:rPr>
          <w:b/>
          <w:bCs/>
          <w:sz w:val="20"/>
          <w:szCs w:val="20"/>
          <w:lang w:val="pl-PL"/>
        </w:rPr>
      </w:pPr>
      <w:r w:rsidRPr="00DB0305">
        <w:rPr>
          <w:b/>
          <w:bCs/>
          <w:sz w:val="20"/>
          <w:szCs w:val="20"/>
          <w:lang w:val="pl-PL"/>
        </w:rPr>
        <w:lastRenderedPageBreak/>
        <w:t>Sztuczna inteligencja poczeka?</w:t>
      </w:r>
    </w:p>
    <w:p w14:paraId="108CC5F1" w14:textId="77777777" w:rsidR="00A14BC4" w:rsidRPr="00DB0305" w:rsidRDefault="001168F0">
      <w:pPr>
        <w:spacing w:before="240" w:after="240" w:line="300" w:lineRule="auto"/>
        <w:rPr>
          <w:sz w:val="20"/>
          <w:szCs w:val="20"/>
          <w:lang w:val="pl-PL"/>
        </w:rPr>
      </w:pPr>
      <w:r w:rsidRPr="00DB0305">
        <w:rPr>
          <w:sz w:val="20"/>
          <w:szCs w:val="20"/>
          <w:lang w:val="pl-PL"/>
        </w:rPr>
        <w:t>Jak zauważa ekspert, analiza postrzeganego ryzyka związanego z generatywną sztuczną inteligencją ujawnia wyraźny i konsekwentny wzorzec: im bardziej oddalona jest grupa odniesienia o</w:t>
      </w:r>
      <w:r w:rsidRPr="00DB0305">
        <w:rPr>
          <w:sz w:val="20"/>
          <w:szCs w:val="20"/>
          <w:lang w:val="pl-PL"/>
        </w:rPr>
        <w:t>d perspektywy „ty i bliscy”, tym wyżej badani oceniają prawdopodobieństwo negatywnego wpływu AI na życie zawodowe lub prywatne. Oznacza to, że ryzyko jest psychologicznie przesuwane na zewnątrz – od siebie i najbliższych, przez „osobę z miasta” i „obywatel</w:t>
      </w:r>
      <w:r w:rsidRPr="00DB0305">
        <w:rPr>
          <w:sz w:val="20"/>
          <w:szCs w:val="20"/>
          <w:lang w:val="pl-PL"/>
        </w:rPr>
        <w:t>a”, aż po „osobę na świecie”. Ten stopniowy układ różnic jest spójny z teorią nierealistycznego optymizmu.</w:t>
      </w:r>
    </w:p>
    <w:p w14:paraId="03927955" w14:textId="77777777" w:rsidR="00A14BC4" w:rsidRPr="00DB0305" w:rsidRDefault="001168F0">
      <w:pPr>
        <w:spacing w:before="240" w:after="240" w:line="300" w:lineRule="auto"/>
        <w:rPr>
          <w:sz w:val="20"/>
          <w:szCs w:val="20"/>
          <w:lang w:val="pl-PL"/>
        </w:rPr>
      </w:pPr>
      <w:r w:rsidRPr="00DB0305">
        <w:rPr>
          <w:sz w:val="20"/>
          <w:szCs w:val="20"/>
          <w:lang w:val="pl-PL"/>
        </w:rPr>
        <w:t>– To, że nierealistyczny optymizm jest w dużej mierze niezależny od kluczowych cech społeczno-demograficznych, niesie ze sobą ważne implikacje społec</w:t>
      </w:r>
      <w:r w:rsidRPr="00DB0305">
        <w:rPr>
          <w:sz w:val="20"/>
          <w:szCs w:val="20"/>
          <w:lang w:val="pl-PL"/>
        </w:rPr>
        <w:t>zne. Wynik ten sugeruje, że nierealistyczny optymizm nie jest efektem specyficznych interesów lub sytuacji życiowej (np. funkcjonowania na rynku pracy, posiadania wyższych kompetencji czy określonego poziomu edukacji), lecz raczej stanowi ogólny sposób psy</w:t>
      </w:r>
      <w:r w:rsidRPr="00DB0305">
        <w:rPr>
          <w:sz w:val="20"/>
          <w:szCs w:val="20"/>
          <w:lang w:val="pl-PL"/>
        </w:rPr>
        <w:t>chologicznego porządkowania ryzyka w warunkach niepewności. W praktyce oznacza to, że nawet jeśli ludzie uznają zagrożenia związane z AI za realne, mogą jednocześnie zakładać, że dotkną one przede wszystkim innych, a więc nie wymagają natychmiastowej reakc</w:t>
      </w:r>
      <w:r w:rsidRPr="00DB0305">
        <w:rPr>
          <w:sz w:val="20"/>
          <w:szCs w:val="20"/>
          <w:lang w:val="pl-PL"/>
        </w:rPr>
        <w:t>ji we własnym życiu – mówi dr Paweł Muniak.</w:t>
      </w:r>
    </w:p>
    <w:p w14:paraId="25456FFF" w14:textId="77777777" w:rsidR="00A14BC4" w:rsidRPr="00DB0305" w:rsidRDefault="001168F0">
      <w:pPr>
        <w:spacing w:before="240" w:after="240" w:line="300" w:lineRule="auto"/>
        <w:rPr>
          <w:sz w:val="20"/>
          <w:szCs w:val="20"/>
          <w:lang w:val="pl-PL"/>
        </w:rPr>
      </w:pPr>
      <w:r w:rsidRPr="00DB0305">
        <w:rPr>
          <w:sz w:val="20"/>
          <w:szCs w:val="20"/>
          <w:lang w:val="pl-PL"/>
        </w:rPr>
        <w:t>Twórca publikacji zauważa, że taki sposób postrzegania ryzyka może mieć konkretne konsekwencje praktyczne. Jeśli ryzyko jest lokowane po stronie „innych”, łatwiej utrzymuje się przekonanie, że przygotowanie na zmiany nie jest pilne, co może osłabiać motywa</w:t>
      </w:r>
      <w:r w:rsidRPr="00DB0305">
        <w:rPr>
          <w:sz w:val="20"/>
          <w:szCs w:val="20"/>
          <w:lang w:val="pl-PL"/>
        </w:rPr>
        <w:t xml:space="preserve">cję do działań adaptacyjnych (np. rozwijania kompetencji, uczenia się efektywnego korzystania z narzędzi AI, higieny cyfrowej, krytycznej weryfikacji treści czy zabezpieczania prywatności). Na poziomie społecznym ten sam mechanizm może obniżać gotowość do </w:t>
      </w:r>
      <w:r w:rsidRPr="00DB0305">
        <w:rPr>
          <w:sz w:val="20"/>
          <w:szCs w:val="20"/>
          <w:lang w:val="pl-PL"/>
        </w:rPr>
        <w:t>popierania rozwiązań prewencyjnych „tu i teraz” (edukacja, programy przekwalifikowania, standardy i regulacje), ponieważ koszty działań są natychmiastowe, a korzyści bywają wyobrażane jako dotyczące kogoś innego.</w:t>
      </w:r>
    </w:p>
    <w:p w14:paraId="73E6535D" w14:textId="77777777" w:rsidR="00A14BC4" w:rsidRPr="00DB0305" w:rsidRDefault="001168F0">
      <w:pPr>
        <w:spacing w:before="240" w:after="240" w:line="300" w:lineRule="auto"/>
        <w:rPr>
          <w:sz w:val="20"/>
          <w:szCs w:val="20"/>
          <w:lang w:val="pl-PL"/>
        </w:rPr>
      </w:pPr>
      <w:r w:rsidRPr="00DB0305">
        <w:rPr>
          <w:sz w:val="20"/>
          <w:szCs w:val="20"/>
          <w:lang w:val="pl-PL"/>
        </w:rPr>
        <w:t>– Wyniki sugerują, że komunikacja o skutkac</w:t>
      </w:r>
      <w:r w:rsidRPr="00DB0305">
        <w:rPr>
          <w:sz w:val="20"/>
          <w:szCs w:val="20"/>
          <w:lang w:val="pl-PL"/>
        </w:rPr>
        <w:t xml:space="preserve">h AI powinna możliwie często przekładać abstrakcyjne ryzyka na bliskie, konkretne scenariusze z codziennego życia i pracy – tak aby ograniczać odruchową myśl „to dotyczy innych” i wzmacniać </w:t>
      </w:r>
      <w:r w:rsidRPr="00DB0305">
        <w:rPr>
          <w:sz w:val="20"/>
          <w:szCs w:val="20"/>
          <w:lang w:val="pl-PL"/>
        </w:rPr>
        <w:lastRenderedPageBreak/>
        <w:t>poczucie sprawczości oraz sensu wczesnego przygotowania się – wska</w:t>
      </w:r>
      <w:r w:rsidRPr="00DB0305">
        <w:rPr>
          <w:sz w:val="20"/>
          <w:szCs w:val="20"/>
          <w:lang w:val="pl-PL"/>
        </w:rPr>
        <w:t>zuje ekspert.</w:t>
      </w:r>
    </w:p>
    <w:p w14:paraId="66190CCC" w14:textId="77777777" w:rsidR="00A14BC4" w:rsidRPr="00DB0305" w:rsidRDefault="001168F0">
      <w:pPr>
        <w:spacing w:before="240" w:after="240" w:line="300" w:lineRule="auto"/>
        <w:rPr>
          <w:sz w:val="20"/>
          <w:szCs w:val="20"/>
          <w:lang w:val="pl-PL"/>
        </w:rPr>
      </w:pPr>
      <w:r w:rsidRPr="00DB0305">
        <w:rPr>
          <w:sz w:val="20"/>
          <w:szCs w:val="20"/>
          <w:lang w:val="pl-PL"/>
        </w:rPr>
        <w:t xml:space="preserve">Autorem raportu jest dr Paweł Muniak, psycholog z Uniwersytetu SWPS. Publikacja dostępna jest na </w:t>
      </w:r>
      <w:hyperlink r:id="rId9">
        <w:r w:rsidRPr="00DB0305">
          <w:rPr>
            <w:b/>
            <w:bCs/>
            <w:color w:val="1155CC"/>
            <w:sz w:val="20"/>
            <w:szCs w:val="20"/>
            <w:u w:val="single"/>
            <w:lang w:val="pl-PL"/>
          </w:rPr>
          <w:t>stronie</w:t>
        </w:r>
      </w:hyperlink>
      <w:r w:rsidRPr="00DB0305">
        <w:rPr>
          <w:sz w:val="20"/>
          <w:szCs w:val="20"/>
          <w:lang w:val="pl-PL"/>
        </w:rPr>
        <w:t xml:space="preserve">. </w:t>
      </w:r>
    </w:p>
    <w:p w14:paraId="6A0CCB3E" w14:textId="77777777" w:rsidR="00A14BC4" w:rsidRPr="00DB0305" w:rsidRDefault="001168F0">
      <w:pPr>
        <w:spacing w:before="240" w:after="240" w:line="276" w:lineRule="auto"/>
        <w:rPr>
          <w:rFonts w:ascii="Arial" w:eastAsia="Arial" w:hAnsi="Arial" w:cs="Arial"/>
          <w:b/>
          <w:bCs/>
          <w:lang w:val="pl-PL"/>
        </w:rPr>
      </w:pPr>
      <w:r w:rsidRPr="00DB0305">
        <w:rPr>
          <w:rFonts w:ascii="Arial" w:eastAsia="Arial" w:hAnsi="Arial" w:cs="Arial"/>
          <w:b/>
          <w:bCs/>
          <w:lang w:val="pl-PL"/>
        </w:rPr>
        <w:t>****</w:t>
      </w:r>
    </w:p>
    <w:p w14:paraId="07DE0143" w14:textId="77777777" w:rsidR="00A14BC4" w:rsidRPr="00DB0305" w:rsidRDefault="00A14BC4">
      <w:pPr>
        <w:widowControl/>
        <w:spacing w:line="276" w:lineRule="auto"/>
        <w:rPr>
          <w:b/>
          <w:bCs/>
          <w:sz w:val="20"/>
          <w:szCs w:val="20"/>
          <w:lang w:val="pl-PL"/>
        </w:rPr>
      </w:pPr>
    </w:p>
    <w:p w14:paraId="6AE324DB" w14:textId="77777777" w:rsidR="00A14BC4" w:rsidRPr="00DB0305" w:rsidRDefault="001168F0">
      <w:pPr>
        <w:widowControl/>
        <w:spacing w:line="276" w:lineRule="auto"/>
        <w:rPr>
          <w:sz w:val="20"/>
          <w:szCs w:val="20"/>
          <w:lang w:val="pl-PL"/>
        </w:rPr>
      </w:pPr>
      <w:r w:rsidRPr="00DB0305">
        <w:rPr>
          <w:b/>
          <w:bCs/>
          <w:sz w:val="20"/>
          <w:szCs w:val="20"/>
          <w:lang w:val="pl-PL"/>
        </w:rPr>
        <w:t>Uniwersytet SWPS</w:t>
      </w:r>
      <w:r w:rsidRPr="00DB0305">
        <w:rPr>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w:t>
      </w:r>
      <w:r w:rsidRPr="00DB0305">
        <w:rPr>
          <w:sz w:val="20"/>
          <w:szCs w:val="20"/>
          <w:lang w:val="pl-PL"/>
        </w:rPr>
        <w:t>studentów – w tym ponad tysiąc z zagranicy oraz ponad 4,5 tys. słuchaczek i słuchaczy studiów podyplomowych na ponad 50 kierunkach studiów stacjonarnych i ponad 40 niestacjonarnych i ok. 240 kierunkach studiów podyplomowych. Uniwersytet oferuje programy st</w:t>
      </w:r>
      <w:r w:rsidRPr="00DB0305">
        <w:rPr>
          <w:sz w:val="20"/>
          <w:szCs w:val="20"/>
          <w:lang w:val="pl-PL"/>
        </w:rPr>
        <w:t>udiów z psychologii, prawa, zarządzania, dziennikarstwa, filologii, kulturoznawstwa, nowych technologii oraz grafiki i wzornictwa, a także edukację w postaci szkoleń i krótkich kursów akademickich. Uczelnia dba o wysoką wartość akademicką naszych programów</w:t>
      </w:r>
      <w:r w:rsidRPr="00DB0305">
        <w:rPr>
          <w:sz w:val="20"/>
          <w:szCs w:val="20"/>
          <w:lang w:val="pl-PL"/>
        </w:rPr>
        <w:t xml:space="preserve"> oraz ich dostosowanie do wymagań zmieniającego się rynku pracy. Kampusy Uniwersytetu SWPS znajdują się w sześciu miastach: Warszawie (siedziba), Wrocławiu, Sopocie, Poznaniu, Katowicach i w Krakowie.</w:t>
      </w:r>
    </w:p>
    <w:p w14:paraId="2709C445" w14:textId="77777777" w:rsidR="00A14BC4" w:rsidRPr="00DB0305" w:rsidRDefault="00A14BC4">
      <w:pPr>
        <w:widowControl/>
        <w:spacing w:line="276" w:lineRule="auto"/>
        <w:rPr>
          <w:sz w:val="20"/>
          <w:szCs w:val="20"/>
          <w:lang w:val="pl-PL"/>
        </w:rPr>
      </w:pPr>
    </w:p>
    <w:p w14:paraId="3CBB5552" w14:textId="77777777" w:rsidR="00A14BC4" w:rsidRPr="00DB0305" w:rsidRDefault="001168F0">
      <w:pPr>
        <w:widowControl/>
        <w:spacing w:line="276" w:lineRule="auto"/>
        <w:rPr>
          <w:sz w:val="20"/>
          <w:szCs w:val="20"/>
          <w:lang w:val="pl-PL"/>
        </w:rPr>
      </w:pPr>
      <w:r w:rsidRPr="00DB0305">
        <w:rPr>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w:t>
      </w:r>
      <w:r w:rsidRPr="00DB0305">
        <w:rPr>
          <w:sz w:val="20"/>
          <w:szCs w:val="20"/>
          <w:lang w:val="pl-PL"/>
        </w:rPr>
        <w:t>e i konserwacja dzieł sztuki. Na Uniwersytecie SWPS funkcjonuje pięć instytutów naukowych, które zajmują się organizacją i koordynacją działalności naukowej pracowników badawczych i badawczo-dydaktycznych uczelni w poszczególnych dyscyplinach: Instytut Psy</w:t>
      </w:r>
      <w:r w:rsidRPr="00DB0305">
        <w:rPr>
          <w:sz w:val="20"/>
          <w:szCs w:val="20"/>
          <w:lang w:val="pl-PL"/>
        </w:rPr>
        <w:t>chologii, Instytut Nauk Humanistycznych, Instytut Nauk Społecznych, Instytut Prawa oraz Instytut Projektowania. W uczelni działa blisko 30 centrów badawczych oraz ponad 175 kół naukowych.</w:t>
      </w:r>
    </w:p>
    <w:p w14:paraId="79C504DA" w14:textId="77777777" w:rsidR="00A14BC4" w:rsidRPr="00DB0305" w:rsidRDefault="00A14BC4">
      <w:pPr>
        <w:widowControl/>
        <w:spacing w:line="276" w:lineRule="auto"/>
        <w:jc w:val="both"/>
        <w:rPr>
          <w:sz w:val="20"/>
          <w:szCs w:val="20"/>
          <w:lang w:val="pl-PL"/>
        </w:rPr>
      </w:pPr>
    </w:p>
    <w:p w14:paraId="165805C6" w14:textId="77777777" w:rsidR="00A14BC4" w:rsidRPr="00DB0305" w:rsidRDefault="001168F0">
      <w:pPr>
        <w:widowControl/>
        <w:spacing w:line="276" w:lineRule="auto"/>
        <w:rPr>
          <w:sz w:val="20"/>
          <w:szCs w:val="20"/>
          <w:lang w:val="pl-PL"/>
        </w:rPr>
      </w:pPr>
      <w:r w:rsidRPr="00DB0305">
        <w:rPr>
          <w:sz w:val="20"/>
          <w:szCs w:val="20"/>
          <w:lang w:val="pl-PL"/>
        </w:rPr>
        <w:t xml:space="preserve">Uniwersytet SWPS należy do sojuszu </w:t>
      </w:r>
      <w:proofErr w:type="spellStart"/>
      <w:r w:rsidRPr="00DB0305">
        <w:rPr>
          <w:sz w:val="20"/>
          <w:szCs w:val="20"/>
          <w:lang w:val="pl-PL"/>
        </w:rPr>
        <w:t>European</w:t>
      </w:r>
      <w:proofErr w:type="spellEnd"/>
      <w:r w:rsidRPr="00DB0305">
        <w:rPr>
          <w:sz w:val="20"/>
          <w:szCs w:val="20"/>
          <w:lang w:val="pl-PL"/>
        </w:rPr>
        <w:t xml:space="preserve"> Reform University Allia</w:t>
      </w:r>
      <w:r w:rsidRPr="00DB0305">
        <w:rPr>
          <w:sz w:val="20"/>
          <w:szCs w:val="20"/>
          <w:lang w:val="pl-PL"/>
        </w:rPr>
        <w:t>nce (ERUA). Jest to sojusz uczelni zawarty w ramach Inicjatywy Uniwersytetów Europejskich, powołanej i finansowanej przez Komisję Europejską.</w:t>
      </w:r>
    </w:p>
    <w:sectPr w:rsidR="00A14BC4" w:rsidRPr="00DB0305">
      <w:headerReference w:type="even" r:id="rId10"/>
      <w:headerReference w:type="default" r:id="rId11"/>
      <w:footerReference w:type="default" r:id="rId12"/>
      <w:headerReference w:type="first" r:id="rId13"/>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094E7F" w14:textId="77777777" w:rsidR="001168F0" w:rsidRDefault="001168F0">
      <w:r>
        <w:separator/>
      </w:r>
    </w:p>
  </w:endnote>
  <w:endnote w:type="continuationSeparator" w:id="0">
    <w:p w14:paraId="29727C91" w14:textId="77777777" w:rsidR="001168F0" w:rsidRDefault="001168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35BB8DFE-5708-42AE-983F-CAB27085AB5E}"/>
    <w:embedBold r:id="rId2" w:fontKey="{787DDA1A-C2F9-4084-8E4A-068F3B9D6BB8}"/>
  </w:font>
  <w:font w:name="Times New Roman">
    <w:panose1 w:val="02020603050405020304"/>
    <w:charset w:val="EE"/>
    <w:family w:val="roman"/>
    <w:pitch w:val="variable"/>
    <w:sig w:usb0="E0002EFF" w:usb1="C000785B" w:usb2="00000009" w:usb3="00000000" w:csb0="000001FF" w:csb1="00000000"/>
  </w:font>
  <w:font w:name="Allura">
    <w:charset w:val="00"/>
    <w:family w:val="auto"/>
    <w:pitch w:val="default"/>
    <w:embedRegular r:id="rId3" w:fontKey="{FCC0C34C-B295-4B65-AFEA-433A68E13081}"/>
  </w:font>
  <w:font w:name="Georgia">
    <w:panose1 w:val="02040502050405020303"/>
    <w:charset w:val="EE"/>
    <w:family w:val="roman"/>
    <w:pitch w:val="variable"/>
    <w:sig w:usb0="00000287" w:usb1="00000000" w:usb2="00000000" w:usb3="00000000" w:csb0="0000009F" w:csb1="00000000"/>
    <w:embedItalic r:id="rId4" w:fontKey="{54913E1F-D772-4BDB-A024-B45D4ED50B5F}"/>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5" w:fontKey="{CA8FE8BB-D65C-4D4A-AA1B-701ACC9237C4}"/>
  </w:font>
  <w:font w:name="Cambria">
    <w:panose1 w:val="02040503050406030204"/>
    <w:charset w:val="EE"/>
    <w:family w:val="roman"/>
    <w:pitch w:val="variable"/>
    <w:sig w:usb0="E00006FF" w:usb1="420024FF" w:usb2="02000000" w:usb3="00000000" w:csb0="0000019F" w:csb1="00000000"/>
    <w:embedRegular r:id="rId6" w:fontKey="{8EE3DBAF-1207-4BC0-A306-DAA418F8A5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FF26F" w14:textId="77777777" w:rsidR="00A14BC4" w:rsidRDefault="001168F0">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6704" behindDoc="1" locked="0" layoutInCell="1" hidden="0" allowOverlap="1" wp14:anchorId="05AB974F" wp14:editId="22D853A5">
              <wp:simplePos x="0" y="0"/>
              <wp:positionH relativeFrom="column">
                <wp:posOffset>-9522</wp:posOffset>
              </wp:positionH>
              <wp:positionV relativeFrom="paragraph">
                <wp:posOffset>9566275</wp:posOffset>
              </wp:positionV>
              <wp:extent cx="3580635" cy="436755"/>
              <wp:effectExtent l="0" t="0" r="0" b="0"/>
              <wp:wrapNone/>
              <wp:docPr id="15" name="Prostokąt 15"/>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0CE55570" w14:textId="77777777" w:rsidR="00A14BC4" w:rsidRDefault="001168F0">
                          <w:pPr>
                            <w:spacing w:line="275" w:lineRule="auto"/>
                            <w:textDirection w:val="btLr"/>
                          </w:pPr>
                          <w:proofErr w:type="spellStart"/>
                          <w:r>
                            <w:rPr>
                              <w:color w:val="000000"/>
                              <w:sz w:val="14"/>
                            </w:rPr>
                            <w:t>Uniwersytet</w:t>
                          </w:r>
                          <w:proofErr w:type="spellEnd"/>
                          <w:r>
                            <w:rPr>
                              <w:color w:val="000000"/>
                              <w:sz w:val="14"/>
                            </w:rPr>
                            <w:t xml:space="preserve"> SWPS</w:t>
                          </w:r>
                        </w:p>
                        <w:p w14:paraId="550B63E8" w14:textId="77777777" w:rsidR="00A14BC4" w:rsidRDefault="001168F0">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w:pict>
            <v:rect w14:anchorId="05AB974F" id="Prostokąt 15" o:spid="_x0000_s1026" style="position:absolute;margin-left:-.75pt;margin-top:753.25pt;width:281.95pt;height:34.4pt;z-index:-25165977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" filled="f" stroked="f">
              <v:textbox inset="0,0,0,0">
                <w:txbxContent>
                  <w:p w14:paraId="0CE55570" w14:textId="77777777" w:rsidR="00A14BC4" w:rsidRDefault="001168F0">
                    <w:pPr>
                      <w:spacing w:line="275" w:lineRule="auto"/>
                      <w:textDirection w:val="btLr"/>
                    </w:pPr>
                    <w:proofErr w:type="spellStart"/>
                    <w:r>
                      <w:rPr>
                        <w:color w:val="000000"/>
                        <w:sz w:val="14"/>
                      </w:rPr>
                      <w:t>Uniwersytet</w:t>
                    </w:r>
                    <w:proofErr w:type="spellEnd"/>
                    <w:r>
                      <w:rPr>
                        <w:color w:val="000000"/>
                        <w:sz w:val="14"/>
                      </w:rPr>
                      <w:t xml:space="preserve"> SWPS</w:t>
                    </w:r>
                  </w:p>
                  <w:p w14:paraId="550B63E8" w14:textId="77777777" w:rsidR="00A14BC4" w:rsidRDefault="001168F0">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v:textbox>
            </v:rect>
          </w:pict>
        </mc:Fallback>
      </mc:AlternateContent>
    </w:r>
    <w:r>
      <w:rPr>
        <w:noProof/>
      </w:rPr>
      <mc:AlternateContent>
        <mc:Choice Requires="wps">
          <w:drawing>
            <wp:anchor distT="0" distB="0" distL="0" distR="0" simplePos="0" relativeHeight="251657728" behindDoc="1" locked="0" layoutInCell="1" hidden="0" allowOverlap="1" wp14:anchorId="600DB646" wp14:editId="0916881E">
              <wp:simplePos x="0" y="0"/>
              <wp:positionH relativeFrom="column">
                <wp:posOffset>-911220</wp:posOffset>
              </wp:positionH>
              <wp:positionV relativeFrom="paragraph">
                <wp:posOffset>9820275</wp:posOffset>
              </wp:positionV>
              <wp:extent cx="968475" cy="186195"/>
              <wp:effectExtent l="0" t="0" r="0" b="0"/>
              <wp:wrapNone/>
              <wp:docPr id="16" name="Prostokąt 16"/>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189FEF03" w14:textId="77777777" w:rsidR="00A14BC4" w:rsidRDefault="001168F0">
                          <w:pPr>
                            <w:spacing w:before="20"/>
                            <w:ind w:left="20" w:firstLine="14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w:pict>
            <v:rect w14:anchorId="600DB646" id="Prostokąt 16" o:spid="_x0000_s1027" style="position:absolute;margin-left:-71.75pt;margin-top:773.25pt;width:76.25pt;height:14.65pt;z-index:-25165875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" filled="f" stroked="f">
              <v:textbox inset="0,0,0,0">
                <w:txbxContent>
                  <w:p w14:paraId="189FEF03" w14:textId="77777777" w:rsidR="00A14BC4" w:rsidRDefault="001168F0">
                    <w:pPr>
                      <w:spacing w:before="20"/>
                      <w:ind w:left="20" w:firstLine="140"/>
                      <w:jc w:val="right"/>
                      <w:textDirection w:val="btLr"/>
                    </w:pPr>
                    <w:r>
                      <w:rPr>
                        <w:b/>
                        <w:color w:val="000000"/>
                        <w:sz w:val="14"/>
                      </w:rPr>
                      <w:t>www.swps.pl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9E0A5" w14:textId="77777777" w:rsidR="001168F0" w:rsidRDefault="001168F0">
      <w:r>
        <w:separator/>
      </w:r>
    </w:p>
  </w:footnote>
  <w:footnote w:type="continuationSeparator" w:id="0">
    <w:p w14:paraId="73BE21D3" w14:textId="77777777" w:rsidR="001168F0" w:rsidRDefault="001168F0">
      <w:r>
        <w:continuationSeparator/>
      </w:r>
    </w:p>
  </w:footnote>
  <w:footnote w:id="1">
    <w:p w14:paraId="3AB4087D" w14:textId="77777777" w:rsidR="00A14BC4" w:rsidRDefault="001168F0">
      <w:pPr>
        <w:rPr>
          <w:sz w:val="16"/>
          <w:szCs w:val="16"/>
        </w:rPr>
      </w:pPr>
      <w:r>
        <w:rPr>
          <w:vertAlign w:val="superscript"/>
        </w:rPr>
        <w:footnoteRef/>
      </w:r>
      <w:r>
        <w:rPr>
          <w:sz w:val="16"/>
          <w:szCs w:val="16"/>
        </w:rPr>
        <w:t xml:space="preserve"> Kim, J.J.H., Soh, J., </w:t>
      </w:r>
      <w:proofErr w:type="spellStart"/>
      <w:r>
        <w:rPr>
          <w:sz w:val="16"/>
          <w:szCs w:val="16"/>
        </w:rPr>
        <w:t>Kadkol</w:t>
      </w:r>
      <w:proofErr w:type="spellEnd"/>
      <w:r>
        <w:rPr>
          <w:sz w:val="16"/>
          <w:szCs w:val="16"/>
        </w:rPr>
        <w:t>, S., Solomon, I., Yeh, H., Srivatsa, A.V., Nahass, G.R., Choi, J.Y.</w:t>
      </w:r>
      <w:r>
        <w:rPr>
          <w:sz w:val="16"/>
          <w:szCs w:val="16"/>
        </w:rPr>
        <w:t xml:space="preserve">, Lee, S., </w:t>
      </w:r>
      <w:proofErr w:type="spellStart"/>
      <w:r>
        <w:rPr>
          <w:sz w:val="16"/>
          <w:szCs w:val="16"/>
        </w:rPr>
        <w:t>Nyugen</w:t>
      </w:r>
      <w:proofErr w:type="spellEnd"/>
      <w:r>
        <w:rPr>
          <w:sz w:val="16"/>
          <w:szCs w:val="16"/>
        </w:rPr>
        <w:t xml:space="preserve">, T. </w:t>
      </w:r>
      <w:proofErr w:type="spellStart"/>
      <w:r>
        <w:rPr>
          <w:sz w:val="16"/>
          <w:szCs w:val="16"/>
        </w:rPr>
        <w:t>i</w:t>
      </w:r>
      <w:proofErr w:type="spellEnd"/>
      <w:r>
        <w:rPr>
          <w:sz w:val="16"/>
          <w:szCs w:val="16"/>
        </w:rPr>
        <w:t xml:space="preserve"> </w:t>
      </w:r>
      <w:proofErr w:type="spellStart"/>
      <w:r>
        <w:rPr>
          <w:sz w:val="16"/>
          <w:szCs w:val="16"/>
        </w:rPr>
        <w:t>Ajilore</w:t>
      </w:r>
      <w:proofErr w:type="spellEnd"/>
      <w:r>
        <w:rPr>
          <w:sz w:val="16"/>
          <w:szCs w:val="16"/>
        </w:rPr>
        <w:t>, O.. (2025). AI anxiety: A comprehensive analysis of psychological factors and interventions. AI Ethics, 5, 3993–4009. https://doi.org/10.1007/s43681-025-00686-9</w:t>
      </w:r>
    </w:p>
  </w:footnote>
  <w:footnote w:id="2">
    <w:p w14:paraId="27B66DE4" w14:textId="77777777" w:rsidR="00A14BC4" w:rsidRPr="00DB0305" w:rsidRDefault="001168F0">
      <w:pPr>
        <w:rPr>
          <w:sz w:val="16"/>
          <w:szCs w:val="16"/>
          <w:lang w:val="pl-PL"/>
        </w:rPr>
      </w:pPr>
      <w:r>
        <w:rPr>
          <w:vertAlign w:val="superscript"/>
        </w:rPr>
        <w:footnoteRef/>
      </w:r>
      <w:r>
        <w:rPr>
          <w:sz w:val="16"/>
          <w:szCs w:val="16"/>
        </w:rPr>
        <w:t xml:space="preserve"> Weinstein, N.D. (1980). Unrealistic optimism about future li</w:t>
      </w:r>
      <w:r>
        <w:rPr>
          <w:sz w:val="16"/>
          <w:szCs w:val="16"/>
        </w:rPr>
        <w:t xml:space="preserve">fe events. </w:t>
      </w:r>
      <w:r w:rsidRPr="00DB0305">
        <w:rPr>
          <w:sz w:val="16"/>
          <w:szCs w:val="16"/>
          <w:lang w:val="pl-PL"/>
        </w:rPr>
        <w:t>Journal of Personality and Social Psychology, 39(5), 806–820. https://doi.org/10.1037/0022-3514.39.5.806</w:t>
      </w:r>
    </w:p>
  </w:footnote>
  <w:footnote w:id="3">
    <w:p w14:paraId="1CA28C70" w14:textId="77777777" w:rsidR="00A14BC4" w:rsidRPr="00DB0305" w:rsidRDefault="001168F0">
      <w:pPr>
        <w:rPr>
          <w:sz w:val="16"/>
          <w:szCs w:val="16"/>
          <w:lang w:val="pl-PL"/>
        </w:rPr>
      </w:pPr>
      <w:r>
        <w:rPr>
          <w:vertAlign w:val="superscript"/>
        </w:rPr>
        <w:footnoteRef/>
      </w:r>
      <w:r w:rsidRPr="00DB0305">
        <w:rPr>
          <w:sz w:val="16"/>
          <w:szCs w:val="16"/>
          <w:lang w:val="pl-PL"/>
        </w:rPr>
        <w:t xml:space="preserve"> Do porównań zastosowano liniowy model mieszany powtarzanych pomiarów (LMM) wraz z testami post-hoc (porównania parami z korektą Holm). p &lt; 0,001; </w:t>
      </w:r>
      <w:r>
        <w:rPr>
          <w:sz w:val="16"/>
          <w:szCs w:val="16"/>
        </w:rPr>
        <w:t>η</w:t>
      </w:r>
      <w:r w:rsidRPr="00DB0305">
        <w:rPr>
          <w:sz w:val="16"/>
          <w:szCs w:val="16"/>
          <w:lang w:val="pl-PL"/>
        </w:rPr>
        <w:t>p² = 0,01</w:t>
      </w:r>
    </w:p>
  </w:footnote>
  <w:footnote w:id="4">
    <w:p w14:paraId="22F2588A" w14:textId="77777777" w:rsidR="00A14BC4" w:rsidRDefault="001168F0">
      <w:pPr>
        <w:rPr>
          <w:sz w:val="20"/>
          <w:szCs w:val="20"/>
        </w:rPr>
      </w:pPr>
      <w:r>
        <w:rPr>
          <w:vertAlign w:val="superscript"/>
        </w:rPr>
        <w:footnoteRef/>
      </w:r>
      <w:r>
        <w:rPr>
          <w:sz w:val="20"/>
          <w:szCs w:val="20"/>
        </w:rPr>
        <w:t xml:space="preserve"> </w:t>
      </w:r>
      <w:r>
        <w:rPr>
          <w:sz w:val="16"/>
          <w:szCs w:val="16"/>
        </w:rPr>
        <w:t>p = 0,226</w:t>
      </w:r>
    </w:p>
  </w:footnote>
  <w:footnote w:id="5">
    <w:p w14:paraId="463B7448" w14:textId="77777777" w:rsidR="00A14BC4" w:rsidRDefault="001168F0">
      <w:pPr>
        <w:rPr>
          <w:sz w:val="16"/>
          <w:szCs w:val="16"/>
        </w:rPr>
      </w:pPr>
      <w:r>
        <w:rPr>
          <w:vertAlign w:val="superscript"/>
        </w:rPr>
        <w:footnoteRef/>
      </w:r>
      <w:r>
        <w:rPr>
          <w:sz w:val="16"/>
          <w:szCs w:val="16"/>
        </w:rPr>
        <w:t xml:space="preserve">  ΔM = 4,87; p &lt; 0,001; d = 0,46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5F4B0" w14:textId="77777777" w:rsidR="00A14BC4" w:rsidRDefault="001168F0">
    <w:pPr>
      <w:pBdr>
        <w:top w:val="nil"/>
        <w:left w:val="nil"/>
        <w:bottom w:val="nil"/>
        <w:right w:val="nil"/>
        <w:between w:val="nil"/>
      </w:pBdr>
      <w:tabs>
        <w:tab w:val="center" w:pos="4536"/>
        <w:tab w:val="right" w:pos="9072"/>
      </w:tabs>
      <w:rPr>
        <w:color w:val="000000"/>
      </w:rPr>
    </w:pPr>
    <w:r>
      <w:rPr>
        <w:color w:val="000000"/>
      </w:rPr>
      <w:pict w14:anchorId="1E4F5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4C598" w14:textId="77777777" w:rsidR="00A14BC4" w:rsidRDefault="001168F0">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64B4AE81" wp14:editId="02976934">
          <wp:simplePos x="0" y="0"/>
          <wp:positionH relativeFrom="page">
            <wp:align>center</wp:align>
          </wp:positionH>
          <wp:positionV relativeFrom="page">
            <wp:align>center</wp:align>
          </wp:positionV>
          <wp:extent cx="7556760" cy="1069200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89AC7" w14:textId="77777777" w:rsidR="00A14BC4" w:rsidRDefault="001168F0">
    <w:pPr>
      <w:pBdr>
        <w:top w:val="nil"/>
        <w:left w:val="nil"/>
        <w:bottom w:val="nil"/>
        <w:right w:val="nil"/>
        <w:between w:val="nil"/>
      </w:pBdr>
      <w:tabs>
        <w:tab w:val="center" w:pos="4536"/>
        <w:tab w:val="right" w:pos="9072"/>
      </w:tabs>
      <w:rPr>
        <w:color w:val="000000"/>
      </w:rPr>
    </w:pPr>
    <w:r>
      <w:rPr>
        <w:color w:val="000000"/>
      </w:rPr>
      <w:pict w14:anchorId="40709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2"/>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4BC4"/>
    <w:rsid w:val="001168F0"/>
    <w:rsid w:val="00A14BC4"/>
    <w:rsid w:val="00DB030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9BECF3F"/>
  <w15:docId w15:val="{034629F1-9187-42C7-84EA-55E5474135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swps.pl/nauka-i-badania/poznaj-nasz-potencjal/centra-badawcze/874-instytuty-naukowe/instytut-psychologii/centra-i-laboratoria/21114-centrum-badan-nad-relacjami-spolecznymi"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swps.pl/images/DOKUMENTY/Raporty/Raport-To-nie-mnie-zastapi-AI-Centrum-Badan-Relacji-Spolecznych-Uniwersytetu-SWPS.pdf"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swps.pl/images/DOKUMENTY/Raporty/Raport-To-nie-mnie-zastapi-AI-Centrum-Badan-Relacji-Spolecznych-Uniwersytetu-SWPS.pdf"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BnfTIhcnZPPCvXioEqUUqQuaWw==">CgMxLjA4AGotChRzdWdnZXN0LnBkMjI5cTNxbmltcRIVTWFydGEgRGFub3dza2EtS2lzaWVsciExVzZoR3dpa0F1azJFTGw1d0diLXozdEVBZzFyaFRsT2E=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1129</Words>
  <Characters>6779</Characters>
  <Application>Microsoft Office Word</Application>
  <DocSecurity>0</DocSecurity>
  <Lines>56</Lines>
  <Paragraphs>15</Paragraphs>
  <ScaleCrop>false</ScaleCrop>
  <Company/>
  <LinksUpToDate>false</LinksUpToDate>
  <CharactersWithSpaces>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Beata Szauer</cp:lastModifiedBy>
  <cp:revision>2</cp:revision>
  <dcterms:created xsi:type="dcterms:W3CDTF">2026-04-08T10:01:00Z</dcterms:created>
  <dcterms:modified xsi:type="dcterms:W3CDTF">2026-04-08T10:01:00Z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